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44"/>
        </w:tabs>
        <w:spacing w:line="560" w:lineRule="exact"/>
        <w:rPr>
          <w:rFonts w:eastAsia="黑体"/>
          <w:sz w:val="32"/>
          <w:szCs w:val="32"/>
        </w:rPr>
      </w:pPr>
      <w:r>
        <w:rPr>
          <w:rFonts w:ascii="黑体" w:hAnsi="黑体" w:eastAsia="黑体" w:cs="仿宋_GB2312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tabs>
          <w:tab w:val="left" w:pos="444"/>
        </w:tabs>
        <w:spacing w:line="560" w:lineRule="exact"/>
        <w:rPr>
          <w:rFonts w:eastAsia="仿宋_GB2312"/>
          <w:sz w:val="32"/>
          <w:szCs w:val="32"/>
        </w:rPr>
      </w:pPr>
    </w:p>
    <w:p>
      <w:pPr>
        <w:tabs>
          <w:tab w:val="left" w:pos="444"/>
        </w:tabs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课程大纲</w:t>
      </w:r>
    </w:p>
    <w:p>
      <w:pPr>
        <w:tabs>
          <w:tab w:val="left" w:pos="444"/>
        </w:tabs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模块一：讲解关于数据资源和数据要素的政策体系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讲解数据、数据资源、数据资产、数据要素和大数据的关系；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讲解数据要素的经济学分析方法与方法应用实务；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讲解新型数据产权制度解析；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讲解数据要素治理制度分析。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模块二：讲解数据资源的安全管理体系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讲解数据资源战略制定的构架与应用；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讲解数据资源治理体系的构建与应用；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讲解数据资源运营体系的构建与应用；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讲解数据资源安全体系的构建与应用；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讲解数据资源确权登记和交易。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模块三：讲解数据资产产权确认和登记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讲解数据资产产权的界定和确认计量；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讲解数据资产产权确认的流程；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讲解数据资产产权登记管理和制度架构；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讲解数据资产产权登记主要内容。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模块四：讲解数据资产价值评估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讲解数据价值因素、价值特征和价值构成；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讲解数据资产的来源、特征、权利类型；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讲解数据资产评估框架及评估方法；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讲解数据资产价值评估典型案例分享。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模块五：讲解数据资产的流通交易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讲解数据资产交易供方提供数据资产的资质审查主要内容；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讲解获取数据交易所凭证与审核定价；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讲解数据交易流程挂牌上市与信息披露；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讲解数据资产交易交付与结算支付。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模块六：讲解数据资产交易的收益分配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讲解数据资产交易收益分配方案总体架构与应用实务；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讲解数据资产交易数据供给方的收益分配方案设计内容；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讲解数据资产交易数据分析方的收益分配方案设计内容；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讲解数据资产交易数据使用方的收益分配方案设计内容；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讲解参与到数据交易中的机构、个人的收益分配方案设计内容。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模块七：讲解数据资源的会计处理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讲解数据资源会计处理的适用范围；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讲解无形资产的数据资源会计处理技巧与实务；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讲解存货的数据资源会计处理理技巧与实务；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讲解未确认为资产的数据资源的会计处理；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数据资源资产化的步骤及相关案例解析。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模块八：讲解数据资产的税务处理 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讲解数据资产课税的国际经验、分歧及理论争议；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讲解数据资产课税路径的选择与数据的财产属性；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讲解数据资产交易的间接税与所得的直接税课征规则；</w:t>
      </w:r>
    </w:p>
    <w:p>
      <w:pPr>
        <w:tabs>
          <w:tab w:val="left" w:pos="444"/>
        </w:tabs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讲解企业购入、持有、销售、处置数据资源等全生命周期数据资源管理涉税分析。 </w:t>
      </w:r>
    </w:p>
    <w:p>
      <w:pPr>
        <w:tabs>
          <w:tab w:val="left" w:pos="444"/>
        </w:tabs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模块九：分组结构化研讨</w:t>
      </w:r>
    </w:p>
    <w:p>
      <w:pPr>
        <w:spacing w:line="560" w:lineRule="exact"/>
        <w:rPr>
          <w:rFonts w:eastAsia="黑体" w:cs="黑体"/>
          <w:sz w:val="32"/>
          <w:szCs w:val="32"/>
        </w:rPr>
      </w:pPr>
    </w:p>
    <w:p>
      <w:pPr>
        <w:spacing w:line="560" w:lineRule="exact"/>
        <w:rPr>
          <w:rFonts w:eastAsia="黑体" w:cs="黑体"/>
          <w:sz w:val="32"/>
          <w:szCs w:val="32"/>
        </w:rPr>
      </w:pPr>
    </w:p>
    <w:p>
      <w:pPr>
        <w:spacing w:line="560" w:lineRule="exact"/>
        <w:ind w:firstLine="640"/>
        <w:rPr>
          <w:rFonts w:eastAsia="仿宋_GB2312" w:cs="Times New Roman Regular"/>
          <w:sz w:val="32"/>
          <w:szCs w:val="32"/>
          <w:lang w:eastAsia="zh-Hans"/>
        </w:rPr>
      </w:pPr>
      <w:r>
        <w:rPr>
          <w:rFonts w:eastAsia="仿宋_GB2312" w:cs="Times New Roman Regular"/>
          <w:sz w:val="32"/>
          <w:szCs w:val="32"/>
          <w:lang w:eastAsia="zh-Hans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lMTM3MjhiMmYwYTFmNjk5Yzk1YjMwOTg2ZWFlOTgifQ=="/>
  </w:docVars>
  <w:rsids>
    <w:rsidRoot w:val="2A604731"/>
    <w:rsid w:val="2A604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2024-04-07T08:43:00Z</dcterms:created>
  <dc:creator>金协书店志勇</dc:creator>
  <cp:lastModifiedBy>金协书店志勇</cp:lastModifiedBy>
  <dcterms:modified xsi:type="dcterms:W3CDTF">2024-04-07T08:44:23Z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01ADAD2DE7CA46B2BDE285F5053CB129_11</vt:lpwstr>
  </property>
</Properties>
</file>